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5062B" w14:textId="5A2A1538" w:rsidR="00677E2F" w:rsidRDefault="00677E2F" w:rsidP="00677E2F">
      <w:pPr>
        <w:rPr>
          <w:b/>
          <w:bCs/>
          <w:sz w:val="32"/>
          <w:szCs w:val="32"/>
        </w:rPr>
      </w:pPr>
      <w:r w:rsidRPr="00677E2F">
        <w:rPr>
          <w:b/>
          <w:bCs/>
          <w:sz w:val="32"/>
          <w:szCs w:val="32"/>
        </w:rPr>
        <w:t>AHA2020</w:t>
      </w:r>
      <w:r>
        <w:rPr>
          <w:b/>
          <w:bCs/>
          <w:sz w:val="32"/>
          <w:szCs w:val="32"/>
        </w:rPr>
        <w:t xml:space="preserve">: presentato uno studio con </w:t>
      </w:r>
      <w:proofErr w:type="spellStart"/>
      <w:r w:rsidRPr="00677E2F">
        <w:rPr>
          <w:b/>
          <w:bCs/>
          <w:sz w:val="32"/>
          <w:szCs w:val="32"/>
        </w:rPr>
        <w:t>tocilizumab</w:t>
      </w:r>
      <w:proofErr w:type="spellEnd"/>
      <w:r w:rsidRPr="00677E2F">
        <w:rPr>
          <w:b/>
          <w:bCs/>
          <w:sz w:val="32"/>
          <w:szCs w:val="32"/>
        </w:rPr>
        <w:t xml:space="preserve"> in pazienti rianimati dopo arresto cardiaco extra-ospedaliero</w:t>
      </w:r>
      <w:r>
        <w:rPr>
          <w:b/>
          <w:bCs/>
          <w:sz w:val="32"/>
          <w:szCs w:val="32"/>
        </w:rPr>
        <w:t>.</w:t>
      </w:r>
    </w:p>
    <w:p w14:paraId="1F04CF9F" w14:textId="342D5829" w:rsidR="00677E2F" w:rsidRDefault="00677E2F" w:rsidP="00677E2F">
      <w:pPr>
        <w:rPr>
          <w:sz w:val="28"/>
          <w:szCs w:val="28"/>
        </w:rPr>
      </w:pPr>
      <w:r w:rsidRPr="00677E2F">
        <w:rPr>
          <w:sz w:val="28"/>
          <w:szCs w:val="28"/>
        </w:rPr>
        <w:t xml:space="preserve">Sono </w:t>
      </w:r>
      <w:r>
        <w:rPr>
          <w:sz w:val="28"/>
          <w:szCs w:val="28"/>
        </w:rPr>
        <w:t xml:space="preserve">stati presentati </w:t>
      </w:r>
      <w:r w:rsidRPr="00677E2F">
        <w:rPr>
          <w:sz w:val="28"/>
          <w:szCs w:val="28"/>
        </w:rPr>
        <w:t>all'American Heart Association (AHA) 2020</w:t>
      </w:r>
      <w:r>
        <w:rPr>
          <w:sz w:val="28"/>
          <w:szCs w:val="28"/>
        </w:rPr>
        <w:t xml:space="preserve">, in una sessione dedicata </w:t>
      </w:r>
      <w:r w:rsidRPr="00677E2F">
        <w:rPr>
          <w:sz w:val="28"/>
          <w:szCs w:val="28"/>
        </w:rPr>
        <w:t>alla rianimazione</w:t>
      </w:r>
      <w:r>
        <w:rPr>
          <w:sz w:val="28"/>
          <w:szCs w:val="28"/>
        </w:rPr>
        <w:t>, i</w:t>
      </w:r>
      <w:r w:rsidRPr="00677E2F">
        <w:rPr>
          <w:sz w:val="28"/>
          <w:szCs w:val="28"/>
        </w:rPr>
        <w:t xml:space="preserve"> risultati di un piccolo studio pilota</w:t>
      </w:r>
      <w:r>
        <w:rPr>
          <w:sz w:val="28"/>
          <w:szCs w:val="28"/>
        </w:rPr>
        <w:t xml:space="preserve"> </w:t>
      </w:r>
      <w:r w:rsidRPr="00677E2F">
        <w:rPr>
          <w:sz w:val="28"/>
          <w:szCs w:val="28"/>
        </w:rPr>
        <w:t xml:space="preserve">denominato IMICA (Interleukin-6 Receptor </w:t>
      </w:r>
      <w:proofErr w:type="spellStart"/>
      <w:r w:rsidRPr="00677E2F">
        <w:rPr>
          <w:sz w:val="28"/>
          <w:szCs w:val="28"/>
        </w:rPr>
        <w:t>Antibodies</w:t>
      </w:r>
      <w:proofErr w:type="spellEnd"/>
      <w:r w:rsidRPr="00677E2F">
        <w:rPr>
          <w:sz w:val="28"/>
          <w:szCs w:val="28"/>
        </w:rPr>
        <w:t xml:space="preserve"> for </w:t>
      </w:r>
      <w:proofErr w:type="spellStart"/>
      <w:r w:rsidRPr="00677E2F">
        <w:rPr>
          <w:sz w:val="28"/>
          <w:szCs w:val="28"/>
        </w:rPr>
        <w:t>Modulating</w:t>
      </w:r>
      <w:proofErr w:type="spellEnd"/>
      <w:r w:rsidRPr="00677E2F">
        <w:rPr>
          <w:sz w:val="28"/>
          <w:szCs w:val="28"/>
        </w:rPr>
        <w:t xml:space="preserve"> the </w:t>
      </w:r>
      <w:proofErr w:type="spellStart"/>
      <w:r w:rsidRPr="00677E2F">
        <w:rPr>
          <w:sz w:val="28"/>
          <w:szCs w:val="28"/>
        </w:rPr>
        <w:t>Systemic</w:t>
      </w:r>
      <w:proofErr w:type="spellEnd"/>
      <w:r w:rsidRPr="00677E2F">
        <w:rPr>
          <w:sz w:val="28"/>
          <w:szCs w:val="28"/>
        </w:rPr>
        <w:t xml:space="preserve"> </w:t>
      </w:r>
      <w:proofErr w:type="spellStart"/>
      <w:r w:rsidRPr="00677E2F">
        <w:rPr>
          <w:sz w:val="28"/>
          <w:szCs w:val="28"/>
        </w:rPr>
        <w:t>Inflammatory</w:t>
      </w:r>
      <w:proofErr w:type="spellEnd"/>
      <w:r w:rsidRPr="00677E2F">
        <w:rPr>
          <w:sz w:val="28"/>
          <w:szCs w:val="28"/>
        </w:rPr>
        <w:t xml:space="preserve"> </w:t>
      </w:r>
      <w:proofErr w:type="spellStart"/>
      <w:r w:rsidRPr="00677E2F">
        <w:rPr>
          <w:sz w:val="28"/>
          <w:szCs w:val="28"/>
        </w:rPr>
        <w:t>Response</w:t>
      </w:r>
      <w:proofErr w:type="spellEnd"/>
      <w:r w:rsidRPr="00677E2F">
        <w:rPr>
          <w:sz w:val="28"/>
          <w:szCs w:val="28"/>
        </w:rPr>
        <w:t xml:space="preserve"> After Out-of-Hospital </w:t>
      </w:r>
      <w:proofErr w:type="spellStart"/>
      <w:r w:rsidRPr="00677E2F">
        <w:rPr>
          <w:sz w:val="28"/>
          <w:szCs w:val="28"/>
        </w:rPr>
        <w:t>Cardiac</w:t>
      </w:r>
      <w:proofErr w:type="spellEnd"/>
      <w:r w:rsidRPr="00677E2F">
        <w:rPr>
          <w:sz w:val="28"/>
          <w:szCs w:val="28"/>
        </w:rPr>
        <w:t xml:space="preserve"> </w:t>
      </w:r>
      <w:proofErr w:type="spellStart"/>
      <w:r w:rsidRPr="00677E2F">
        <w:rPr>
          <w:sz w:val="28"/>
          <w:szCs w:val="28"/>
        </w:rPr>
        <w:t>Arrest</w:t>
      </w:r>
      <w:proofErr w:type="spellEnd"/>
      <w:r>
        <w:rPr>
          <w:sz w:val="28"/>
          <w:szCs w:val="28"/>
        </w:rPr>
        <w:t>)</w:t>
      </w:r>
      <w:r w:rsidRPr="00677E2F">
        <w:rPr>
          <w:sz w:val="28"/>
          <w:szCs w:val="28"/>
        </w:rPr>
        <w:t xml:space="preserve">, che ha coinvolto 80 pazienti </w:t>
      </w:r>
      <w:r w:rsidR="00D6597B">
        <w:rPr>
          <w:sz w:val="28"/>
          <w:szCs w:val="28"/>
        </w:rPr>
        <w:t xml:space="preserve">in coma rianimati dopo un arresto cardiaco extraospedaliero che hanno ricevuto </w:t>
      </w:r>
      <w:proofErr w:type="spellStart"/>
      <w:r w:rsidR="00D6597B">
        <w:rPr>
          <w:sz w:val="28"/>
          <w:szCs w:val="28"/>
        </w:rPr>
        <w:t>tolicizumab</w:t>
      </w:r>
      <w:proofErr w:type="spellEnd"/>
      <w:r w:rsidR="00D6597B">
        <w:rPr>
          <w:sz w:val="28"/>
          <w:szCs w:val="28"/>
        </w:rPr>
        <w:t>.</w:t>
      </w:r>
    </w:p>
    <w:p w14:paraId="6AA9052C" w14:textId="10D29C4E" w:rsidR="00AA0744" w:rsidRDefault="00AA0744" w:rsidP="00677E2F">
      <w:pPr>
        <w:rPr>
          <w:sz w:val="28"/>
          <w:szCs w:val="28"/>
        </w:rPr>
      </w:pPr>
      <w:r w:rsidRPr="00AA0744">
        <w:rPr>
          <w:sz w:val="28"/>
          <w:szCs w:val="28"/>
        </w:rPr>
        <w:t>L'endpoint primario era la riduzione dei livelli di CRP</w:t>
      </w:r>
      <w:r>
        <w:rPr>
          <w:sz w:val="28"/>
          <w:szCs w:val="28"/>
        </w:rPr>
        <w:t>, g</w:t>
      </w:r>
      <w:r w:rsidRPr="00AA0744">
        <w:rPr>
          <w:sz w:val="28"/>
          <w:szCs w:val="28"/>
        </w:rPr>
        <w:t>li endpoint secondari includevano</w:t>
      </w:r>
      <w:r>
        <w:rPr>
          <w:sz w:val="28"/>
          <w:szCs w:val="28"/>
        </w:rPr>
        <w:t xml:space="preserve"> </w:t>
      </w:r>
      <w:r w:rsidRPr="00AA0744">
        <w:rPr>
          <w:sz w:val="28"/>
          <w:szCs w:val="28"/>
        </w:rPr>
        <w:t>i livelli di troponina T (TNT), la banda miocardica della creatinina chinasi (CKMB), marcatori di lesione cardiaca/infarto</w:t>
      </w:r>
      <w:r>
        <w:rPr>
          <w:sz w:val="28"/>
          <w:szCs w:val="28"/>
        </w:rPr>
        <w:t xml:space="preserve">, </w:t>
      </w:r>
      <w:r w:rsidRPr="00AA0744">
        <w:rPr>
          <w:sz w:val="28"/>
          <w:szCs w:val="28"/>
        </w:rPr>
        <w:t>l’NT-</w:t>
      </w:r>
      <w:proofErr w:type="spellStart"/>
      <w:r w:rsidRPr="00AA0744">
        <w:rPr>
          <w:sz w:val="28"/>
          <w:szCs w:val="28"/>
        </w:rPr>
        <w:t>proBNP</w:t>
      </w:r>
      <w:proofErr w:type="spellEnd"/>
      <w:r w:rsidRPr="00AA0744">
        <w:rPr>
          <w:sz w:val="28"/>
          <w:szCs w:val="28"/>
        </w:rPr>
        <w:t>, un marcatore di stress miocardico</w:t>
      </w:r>
      <w:r>
        <w:rPr>
          <w:sz w:val="28"/>
          <w:szCs w:val="28"/>
        </w:rPr>
        <w:t xml:space="preserve"> e l’</w:t>
      </w:r>
      <w:proofErr w:type="spellStart"/>
      <w:r>
        <w:rPr>
          <w:sz w:val="28"/>
          <w:szCs w:val="28"/>
        </w:rPr>
        <w:t>enolasi</w:t>
      </w:r>
      <w:proofErr w:type="spellEnd"/>
      <w:r>
        <w:rPr>
          <w:sz w:val="28"/>
          <w:szCs w:val="28"/>
        </w:rPr>
        <w:t>, un marcatore di lesione cerebrale.</w:t>
      </w:r>
    </w:p>
    <w:p w14:paraId="3307964A" w14:textId="77777777" w:rsidR="00AA0744" w:rsidRDefault="00AA0744" w:rsidP="00AA0744">
      <w:pPr>
        <w:rPr>
          <w:sz w:val="28"/>
          <w:szCs w:val="28"/>
        </w:rPr>
      </w:pPr>
      <w:r>
        <w:rPr>
          <w:sz w:val="28"/>
          <w:szCs w:val="28"/>
        </w:rPr>
        <w:t xml:space="preserve">I livelli di proteina C reattiva sono stati ridotti di più dell’84% nei pazienti che ricevevano </w:t>
      </w:r>
      <w:proofErr w:type="spellStart"/>
      <w:r>
        <w:rPr>
          <w:sz w:val="28"/>
          <w:szCs w:val="28"/>
        </w:rPr>
        <w:t>tolicizumab</w:t>
      </w:r>
      <w:proofErr w:type="spellEnd"/>
      <w:r>
        <w:rPr>
          <w:sz w:val="28"/>
          <w:szCs w:val="28"/>
        </w:rPr>
        <w:t xml:space="preserve"> nelle prime 72 ore.</w:t>
      </w:r>
    </w:p>
    <w:p w14:paraId="3F8877E0" w14:textId="23A15C2F" w:rsidR="00D6597B" w:rsidRDefault="00D6597B" w:rsidP="00677E2F">
      <w:pPr>
        <w:rPr>
          <w:sz w:val="28"/>
          <w:szCs w:val="28"/>
        </w:rPr>
      </w:pPr>
      <w:r>
        <w:rPr>
          <w:sz w:val="28"/>
          <w:szCs w:val="28"/>
        </w:rPr>
        <w:t>I pazienti trattati con un’infusione dell’anticorpo</w:t>
      </w:r>
      <w:r w:rsidR="00AA0744">
        <w:rPr>
          <w:sz w:val="28"/>
          <w:szCs w:val="28"/>
        </w:rPr>
        <w:t>,</w:t>
      </w:r>
      <w:r>
        <w:rPr>
          <w:sz w:val="28"/>
          <w:szCs w:val="28"/>
        </w:rPr>
        <w:t xml:space="preserve"> che blocca i recettori dell’interleuchina-6</w:t>
      </w:r>
      <w:r w:rsidR="00AA0744">
        <w:rPr>
          <w:sz w:val="28"/>
          <w:szCs w:val="28"/>
        </w:rPr>
        <w:t>,</w:t>
      </w:r>
      <w:r>
        <w:rPr>
          <w:sz w:val="28"/>
          <w:szCs w:val="28"/>
        </w:rPr>
        <w:t xml:space="preserve"> hanno mostrato una riduzione della risposta infiammatoria sistemica e benefici cardioprotettivi.</w:t>
      </w:r>
    </w:p>
    <w:p w14:paraId="5C92B3EE" w14:textId="29EEBCF7" w:rsidR="00D6597B" w:rsidRPr="00677E2F" w:rsidRDefault="00D6597B" w:rsidP="00677E2F">
      <w:pPr>
        <w:rPr>
          <w:sz w:val="28"/>
          <w:szCs w:val="28"/>
        </w:rPr>
      </w:pPr>
      <w:r>
        <w:rPr>
          <w:sz w:val="28"/>
          <w:szCs w:val="28"/>
        </w:rPr>
        <w:t>Attualmente i ricercatori stanno valutando l’opportunità di ripetere lo stesso intervento in uno studio pi</w:t>
      </w:r>
      <w:r w:rsidR="00AA0744">
        <w:rPr>
          <w:sz w:val="28"/>
          <w:szCs w:val="28"/>
        </w:rPr>
        <w:t>ù</w:t>
      </w:r>
      <w:r>
        <w:rPr>
          <w:sz w:val="28"/>
          <w:szCs w:val="28"/>
        </w:rPr>
        <w:t xml:space="preserve"> ampio</w:t>
      </w:r>
    </w:p>
    <w:p w14:paraId="2B849224" w14:textId="77777777" w:rsidR="00677E2F" w:rsidRPr="00677E2F" w:rsidRDefault="00677E2F" w:rsidP="00677E2F">
      <w:pPr>
        <w:rPr>
          <w:sz w:val="28"/>
          <w:szCs w:val="28"/>
        </w:rPr>
      </w:pPr>
    </w:p>
    <w:p w14:paraId="70F092D9" w14:textId="77777777" w:rsidR="000D136C" w:rsidRDefault="000D136C"/>
    <w:sectPr w:rsidR="000D13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A8644" w14:textId="77777777" w:rsidR="004F6F20" w:rsidRDefault="004F6F20" w:rsidP="00AA0744">
      <w:pPr>
        <w:spacing w:after="0" w:line="240" w:lineRule="auto"/>
      </w:pPr>
      <w:r>
        <w:separator/>
      </w:r>
    </w:p>
  </w:endnote>
  <w:endnote w:type="continuationSeparator" w:id="0">
    <w:p w14:paraId="013219A5" w14:textId="77777777" w:rsidR="004F6F20" w:rsidRDefault="004F6F20" w:rsidP="00AA0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DFFB4" w14:textId="77777777" w:rsidR="004F6F20" w:rsidRDefault="004F6F20" w:rsidP="00AA0744">
      <w:pPr>
        <w:spacing w:after="0" w:line="240" w:lineRule="auto"/>
      </w:pPr>
      <w:r>
        <w:separator/>
      </w:r>
    </w:p>
  </w:footnote>
  <w:footnote w:type="continuationSeparator" w:id="0">
    <w:p w14:paraId="09160E06" w14:textId="77777777" w:rsidR="004F6F20" w:rsidRDefault="004F6F20" w:rsidP="00AA07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2F"/>
    <w:rsid w:val="000D136C"/>
    <w:rsid w:val="004F6F20"/>
    <w:rsid w:val="00677E2F"/>
    <w:rsid w:val="00AA0744"/>
    <w:rsid w:val="00D6597B"/>
    <w:rsid w:val="00F4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18D7"/>
  <w15:chartTrackingRefBased/>
  <w15:docId w15:val="{3FD5E00A-62A9-4FB6-8C6E-5F14E85F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07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744"/>
  </w:style>
  <w:style w:type="paragraph" w:styleId="Pidipagina">
    <w:name w:val="footer"/>
    <w:basedOn w:val="Normale"/>
    <w:link w:val="PidipaginaCarattere"/>
    <w:uiPriority w:val="99"/>
    <w:unhideWhenUsed/>
    <w:rsid w:val="00AA07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2020-11-30T15:06:00Z</dcterms:created>
  <dcterms:modified xsi:type="dcterms:W3CDTF">2020-11-30T15:48:00Z</dcterms:modified>
</cp:coreProperties>
</file>