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D0ADF" w14:textId="07812A8B" w:rsidR="00341AD5" w:rsidRPr="00815415" w:rsidRDefault="00341AD5" w:rsidP="00341AD5">
      <w:pPr>
        <w:rPr>
          <w:b/>
          <w:bCs/>
          <w:sz w:val="28"/>
          <w:szCs w:val="28"/>
        </w:rPr>
      </w:pPr>
      <w:r w:rsidRPr="00815415">
        <w:rPr>
          <w:b/>
          <w:bCs/>
          <w:sz w:val="28"/>
          <w:szCs w:val="28"/>
        </w:rPr>
        <w:t>Denosumab da preferire ad Alendronato nell’ osteoporosi indotta da</w:t>
      </w:r>
      <w:r w:rsidR="003603EB">
        <w:rPr>
          <w:b/>
          <w:bCs/>
          <w:sz w:val="28"/>
          <w:szCs w:val="28"/>
        </w:rPr>
        <w:t xml:space="preserve"> </w:t>
      </w:r>
      <w:r w:rsidRPr="00815415">
        <w:rPr>
          <w:b/>
          <w:bCs/>
          <w:sz w:val="28"/>
          <w:szCs w:val="28"/>
        </w:rPr>
        <w:t>glucocorticoidi</w:t>
      </w:r>
    </w:p>
    <w:p w14:paraId="764E5458" w14:textId="4CE208F0" w:rsidR="00341AD5" w:rsidRPr="000B58BB" w:rsidRDefault="00341AD5" w:rsidP="00E911AC">
      <w:pPr>
        <w:spacing w:after="0" w:line="240" w:lineRule="auto"/>
        <w:rPr>
          <w:sz w:val="24"/>
          <w:szCs w:val="24"/>
        </w:rPr>
      </w:pPr>
      <w:r w:rsidRPr="000B58BB">
        <w:rPr>
          <w:sz w:val="24"/>
          <w:szCs w:val="24"/>
        </w:rPr>
        <w:t>Al congresso ACR 2020 è emerso che, D</w:t>
      </w:r>
      <w:r w:rsidRPr="00341AD5">
        <w:rPr>
          <w:sz w:val="24"/>
          <w:szCs w:val="24"/>
        </w:rPr>
        <w:t>enosumab migliora la densità minerale ossea (DMO) a livelli superiori rispetto a</w:t>
      </w:r>
      <w:r w:rsidRPr="000B58BB">
        <w:rPr>
          <w:sz w:val="24"/>
          <w:szCs w:val="24"/>
        </w:rPr>
        <w:t>d</w:t>
      </w:r>
      <w:r w:rsidRPr="00341AD5">
        <w:rPr>
          <w:sz w:val="24"/>
          <w:szCs w:val="24"/>
        </w:rPr>
        <w:t xml:space="preserve"> </w:t>
      </w:r>
      <w:r w:rsidRPr="000B58BB">
        <w:rPr>
          <w:sz w:val="24"/>
          <w:szCs w:val="24"/>
        </w:rPr>
        <w:t>A</w:t>
      </w:r>
      <w:r w:rsidRPr="00341AD5">
        <w:rPr>
          <w:sz w:val="24"/>
          <w:szCs w:val="24"/>
        </w:rPr>
        <w:t>lendronato in pazienti affett</w:t>
      </w:r>
      <w:r w:rsidRPr="000B58BB">
        <w:rPr>
          <w:sz w:val="24"/>
          <w:szCs w:val="24"/>
        </w:rPr>
        <w:t>i</w:t>
      </w:r>
      <w:r w:rsidRPr="00341AD5">
        <w:rPr>
          <w:sz w:val="24"/>
          <w:szCs w:val="24"/>
        </w:rPr>
        <w:t xml:space="preserve"> da osteoporosi indotta da glucocorticoidi</w:t>
      </w:r>
      <w:r w:rsidR="00E911AC" w:rsidRPr="000B58BB">
        <w:rPr>
          <w:sz w:val="24"/>
          <w:szCs w:val="24"/>
        </w:rPr>
        <w:t xml:space="preserve"> a parità di tollrabilità.</w:t>
      </w:r>
    </w:p>
    <w:p w14:paraId="4FA80A49" w14:textId="77777777" w:rsidR="000B58BB" w:rsidRPr="000B58BB" w:rsidRDefault="000B58BB" w:rsidP="00E911AC">
      <w:pPr>
        <w:spacing w:after="0" w:line="240" w:lineRule="auto"/>
        <w:rPr>
          <w:sz w:val="10"/>
          <w:szCs w:val="10"/>
        </w:rPr>
      </w:pPr>
    </w:p>
    <w:p w14:paraId="2511BA89" w14:textId="77777777" w:rsidR="00E911AC" w:rsidRPr="000B58BB" w:rsidRDefault="00341AD5" w:rsidP="00E911AC">
      <w:pPr>
        <w:spacing w:after="0" w:line="240" w:lineRule="auto"/>
        <w:rPr>
          <w:sz w:val="14"/>
          <w:szCs w:val="14"/>
        </w:rPr>
      </w:pPr>
      <w:r w:rsidRPr="00341AD5">
        <w:rPr>
          <w:sz w:val="24"/>
          <w:szCs w:val="24"/>
        </w:rPr>
        <w:t xml:space="preserve">I glucocorticoidi rappresentano </w:t>
      </w:r>
      <w:r w:rsidR="00E911AC" w:rsidRPr="000B58BB">
        <w:rPr>
          <w:sz w:val="24"/>
          <w:szCs w:val="24"/>
        </w:rPr>
        <w:t xml:space="preserve">oggi </w:t>
      </w:r>
      <w:r w:rsidRPr="00341AD5">
        <w:rPr>
          <w:sz w:val="24"/>
          <w:szCs w:val="24"/>
        </w:rPr>
        <w:t>uno dei principali fattori di rischio di frattura</w:t>
      </w:r>
      <w:r w:rsidRPr="000B58BB">
        <w:rPr>
          <w:sz w:val="24"/>
          <w:szCs w:val="24"/>
        </w:rPr>
        <w:t>.</w:t>
      </w:r>
      <w:r w:rsidRPr="00341AD5">
        <w:rPr>
          <w:sz w:val="24"/>
          <w:szCs w:val="24"/>
        </w:rPr>
        <w:br/>
      </w:r>
    </w:p>
    <w:p w14:paraId="79FB6CA1" w14:textId="535185C8" w:rsidR="00D04C18" w:rsidRPr="000B58BB" w:rsidRDefault="00341AD5" w:rsidP="00E911AC">
      <w:pPr>
        <w:spacing w:after="0" w:line="240" w:lineRule="auto"/>
        <w:rPr>
          <w:sz w:val="24"/>
          <w:szCs w:val="24"/>
        </w:rPr>
      </w:pPr>
      <w:r w:rsidRPr="000B58BB">
        <w:rPr>
          <w:sz w:val="24"/>
          <w:szCs w:val="24"/>
        </w:rPr>
        <w:t>Nello studio</w:t>
      </w:r>
      <w:r w:rsidRPr="00341AD5">
        <w:rPr>
          <w:sz w:val="24"/>
          <w:szCs w:val="24"/>
        </w:rPr>
        <w:t xml:space="preserve"> sono stat</w:t>
      </w:r>
      <w:r w:rsidR="00E911AC" w:rsidRPr="000B58BB">
        <w:rPr>
          <w:sz w:val="24"/>
          <w:szCs w:val="24"/>
        </w:rPr>
        <w:t>e</w:t>
      </w:r>
      <w:r w:rsidRPr="00341AD5">
        <w:rPr>
          <w:sz w:val="24"/>
          <w:szCs w:val="24"/>
        </w:rPr>
        <w:t xml:space="preserve"> reclutat</w:t>
      </w:r>
      <w:r w:rsidR="00E911AC" w:rsidRPr="000B58BB">
        <w:rPr>
          <w:sz w:val="24"/>
          <w:szCs w:val="24"/>
        </w:rPr>
        <w:t>e</w:t>
      </w:r>
      <w:r w:rsidRPr="00341AD5">
        <w:rPr>
          <w:sz w:val="24"/>
          <w:szCs w:val="24"/>
        </w:rPr>
        <w:t xml:space="preserve"> 139 pazienti in trattamento da </w:t>
      </w:r>
      <w:r w:rsidRPr="000B58BB">
        <w:rPr>
          <w:sz w:val="24"/>
          <w:szCs w:val="24"/>
        </w:rPr>
        <w:t xml:space="preserve">almeno un anno </w:t>
      </w:r>
      <w:r w:rsidRPr="00341AD5">
        <w:rPr>
          <w:sz w:val="24"/>
          <w:szCs w:val="24"/>
        </w:rPr>
        <w:t xml:space="preserve">con prednisolone </w:t>
      </w:r>
      <w:r w:rsidRPr="000B58BB">
        <w:rPr>
          <w:sz w:val="24"/>
          <w:szCs w:val="24"/>
        </w:rPr>
        <w:t xml:space="preserve">2,5 mg/die </w:t>
      </w:r>
      <w:r w:rsidRPr="00341AD5">
        <w:rPr>
          <w:sz w:val="24"/>
          <w:szCs w:val="24"/>
        </w:rPr>
        <w:t>prescritto per diverse condizioni cliniche.</w:t>
      </w:r>
      <w:r w:rsidRPr="000B58BB">
        <w:rPr>
          <w:sz w:val="24"/>
          <w:szCs w:val="24"/>
        </w:rPr>
        <w:t xml:space="preserve"> </w:t>
      </w:r>
      <w:r w:rsidRPr="00341AD5">
        <w:rPr>
          <w:sz w:val="24"/>
          <w:szCs w:val="24"/>
        </w:rPr>
        <w:t>Le partecipanti reclutate nel trial sono state randomizzate a trattamento con denosumab (60 mg sottocute a cadenza semestrale) o ad alendronato (70 mg/settimana).</w:t>
      </w:r>
      <w:r w:rsidRPr="00341AD5">
        <w:rPr>
          <w:sz w:val="24"/>
          <w:szCs w:val="24"/>
        </w:rPr>
        <w:br/>
        <w:t>Indipendentemente dal trattamento assegnato dalla randomizzazione, tutte le pazienti erano supplementate con calcio carbonato (3.000 mg/die) e vitamina D3 (1.000 UI/die).</w:t>
      </w:r>
    </w:p>
    <w:p w14:paraId="23DE3370" w14:textId="310723F6" w:rsidR="00E911AC" w:rsidRPr="000B58BB" w:rsidRDefault="00341AD5" w:rsidP="00E911AC">
      <w:pPr>
        <w:spacing w:after="0" w:line="240" w:lineRule="auto"/>
        <w:rPr>
          <w:sz w:val="24"/>
          <w:szCs w:val="24"/>
        </w:rPr>
      </w:pPr>
      <w:r w:rsidRPr="00341AD5">
        <w:rPr>
          <w:sz w:val="24"/>
          <w:szCs w:val="24"/>
        </w:rPr>
        <w:t>I ricercatori hanno effettuato valutazioni della DMO (a livello del collo femorale, dell’anca in toto e della colonna lombare) sia all’inizio dello studio che a distanza di 6 e di 12 mesi</w:t>
      </w:r>
      <w:r w:rsidR="00E911AC" w:rsidRPr="000B58BB">
        <w:rPr>
          <w:sz w:val="24"/>
          <w:szCs w:val="24"/>
        </w:rPr>
        <w:t>.</w:t>
      </w:r>
      <w:r w:rsidRPr="00341AD5">
        <w:rPr>
          <w:sz w:val="24"/>
          <w:szCs w:val="24"/>
        </w:rPr>
        <w:t xml:space="preserve"> </w:t>
      </w:r>
    </w:p>
    <w:p w14:paraId="748D9FD3" w14:textId="77777777" w:rsidR="000B58BB" w:rsidRDefault="00341AD5" w:rsidP="00E911AC">
      <w:pPr>
        <w:spacing w:after="0" w:line="240" w:lineRule="auto"/>
        <w:rPr>
          <w:sz w:val="24"/>
          <w:szCs w:val="24"/>
        </w:rPr>
      </w:pPr>
      <w:r w:rsidRPr="00341AD5">
        <w:rPr>
          <w:sz w:val="16"/>
          <w:szCs w:val="16"/>
        </w:rPr>
        <w:br/>
      </w:r>
      <w:r w:rsidRPr="00341AD5">
        <w:rPr>
          <w:sz w:val="24"/>
          <w:szCs w:val="24"/>
        </w:rPr>
        <w:t>I risultati ad un anno hanno documentato un guadagno significativo di DMO a livello della colonna lombare (+3,5±2,5%; p&lt; 0,001) e del femore (+0,9±2,8%; p=0,01) nel gruppo di pazienti trattate con denosumab, mentre le variazioni corrispondent</w:t>
      </w:r>
      <w:r w:rsidR="00E911AC" w:rsidRPr="000B58BB">
        <w:rPr>
          <w:sz w:val="24"/>
          <w:szCs w:val="24"/>
        </w:rPr>
        <w:t>i</w:t>
      </w:r>
      <w:r w:rsidRPr="00341AD5">
        <w:rPr>
          <w:sz w:val="24"/>
          <w:szCs w:val="24"/>
        </w:rPr>
        <w:t xml:space="preserve"> sono state pari a +2,5±2,9% (p&lt; 0,001) e a +1,6±2,7% (p&lt; 0,001) nel gruppo di pazienti trattate con alendronato.</w:t>
      </w:r>
    </w:p>
    <w:p w14:paraId="16B91AAC" w14:textId="0D403DC0" w:rsidR="00E911AC" w:rsidRPr="000B58BB" w:rsidRDefault="00341AD5" w:rsidP="00E911AC">
      <w:pPr>
        <w:spacing w:after="0" w:line="240" w:lineRule="auto"/>
        <w:rPr>
          <w:sz w:val="24"/>
          <w:szCs w:val="24"/>
        </w:rPr>
      </w:pPr>
      <w:r w:rsidRPr="00341AD5">
        <w:rPr>
          <w:sz w:val="16"/>
          <w:szCs w:val="16"/>
        </w:rPr>
        <w:br/>
      </w:r>
      <w:r w:rsidRPr="00341AD5">
        <w:rPr>
          <w:sz w:val="24"/>
          <w:szCs w:val="24"/>
        </w:rPr>
        <w:t>La DMO a livello del rachide è risultata significativamente più elevata, a 12 mesi, nel gruppo denosumab rispetto al gruppo alendronato</w:t>
      </w:r>
      <w:r w:rsidR="00E911AC" w:rsidRPr="000B58BB">
        <w:rPr>
          <w:sz w:val="24"/>
          <w:szCs w:val="24"/>
        </w:rPr>
        <w:t>.</w:t>
      </w:r>
    </w:p>
    <w:p w14:paraId="32122BBE" w14:textId="2D904855" w:rsidR="00D04C18" w:rsidRPr="000B58BB" w:rsidRDefault="00341AD5" w:rsidP="00E911AC">
      <w:pPr>
        <w:spacing w:after="0" w:line="240" w:lineRule="auto"/>
        <w:rPr>
          <w:sz w:val="24"/>
          <w:szCs w:val="24"/>
        </w:rPr>
      </w:pPr>
      <w:r w:rsidRPr="00341AD5">
        <w:rPr>
          <w:sz w:val="16"/>
          <w:szCs w:val="16"/>
        </w:rPr>
        <w:br/>
      </w:r>
      <w:r w:rsidRPr="00341AD5">
        <w:rPr>
          <w:sz w:val="24"/>
          <w:szCs w:val="24"/>
        </w:rPr>
        <w:t>Le differenze di DMO a livello del femore e del collo femorale non sono state significativamente differenti tra i due gruppi dopo aggiustamento dei dati per gli stessi fattori confondenti. Non si sono avute nuove fratture sintomatiche nelle pazienti in studio ad un anno.</w:t>
      </w:r>
      <w:r w:rsidRPr="00341AD5">
        <w:rPr>
          <w:sz w:val="24"/>
          <w:szCs w:val="24"/>
        </w:rPr>
        <w:br/>
      </w:r>
      <w:r w:rsidR="00D04C18" w:rsidRPr="000B58BB">
        <w:rPr>
          <w:sz w:val="24"/>
          <w:szCs w:val="24"/>
        </w:rPr>
        <w:t>Per il</w:t>
      </w:r>
      <w:r w:rsidRPr="00341AD5">
        <w:rPr>
          <w:sz w:val="24"/>
          <w:szCs w:val="24"/>
        </w:rPr>
        <w:t xml:space="preserve"> metabolismo osseo, si è registrata una maggiore efficacia del denosumab nel sopprimere i livelli dei biomarcatori ossei ad un anno. </w:t>
      </w:r>
      <w:r w:rsidRPr="00341AD5">
        <w:rPr>
          <w:sz w:val="24"/>
          <w:szCs w:val="24"/>
        </w:rPr>
        <w:br/>
        <w:t>La frequenza di eventi avversi è risultata sovrapponibile tra i due gruppi di trattamento</w:t>
      </w:r>
      <w:r w:rsidR="00D04C18" w:rsidRPr="000B58BB">
        <w:rPr>
          <w:sz w:val="24"/>
          <w:szCs w:val="24"/>
        </w:rPr>
        <w:t>.</w:t>
      </w:r>
    </w:p>
    <w:p w14:paraId="672A67A7" w14:textId="04A1390A" w:rsidR="00103E25" w:rsidRPr="000B58BB" w:rsidRDefault="00E911AC" w:rsidP="00E911AC">
      <w:pPr>
        <w:spacing w:after="0" w:line="240" w:lineRule="auto"/>
        <w:rPr>
          <w:rFonts w:cstheme="minorHAnsi"/>
          <w:sz w:val="24"/>
          <w:szCs w:val="24"/>
        </w:rPr>
      </w:pPr>
      <w:r w:rsidRPr="000B58BB">
        <w:rPr>
          <w:sz w:val="24"/>
          <w:szCs w:val="24"/>
        </w:rPr>
        <w:t>D</w:t>
      </w:r>
      <w:r w:rsidR="00341AD5" w:rsidRPr="00341AD5">
        <w:rPr>
          <w:sz w:val="24"/>
          <w:szCs w:val="24"/>
        </w:rPr>
        <w:t xml:space="preserve">enosumab in ragione dei dati di maggior efficacia vs. alendronato nelle pazienti in trattamento cronico con glucocorticoidi e del buon profilo di safety, potrebbe configurarsi come un’opzione di prima linea alternativa nelle pazienti a rischio elevato e in quelle che presentano </w:t>
      </w:r>
      <w:r w:rsidR="00341AD5" w:rsidRPr="00341AD5">
        <w:rPr>
          <w:rFonts w:cstheme="minorHAnsi"/>
          <w:sz w:val="24"/>
          <w:szCs w:val="24"/>
        </w:rPr>
        <w:t>controindicazioni all’impiego di bisfosfonati orali.</w:t>
      </w:r>
    </w:p>
    <w:sectPr w:rsidR="00103E25" w:rsidRPr="000B58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934DF"/>
    <w:multiLevelType w:val="multilevel"/>
    <w:tmpl w:val="FF40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D5F01"/>
    <w:multiLevelType w:val="multilevel"/>
    <w:tmpl w:val="0C7E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CF7F67"/>
    <w:multiLevelType w:val="multilevel"/>
    <w:tmpl w:val="BE7A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D5"/>
    <w:rsid w:val="000B58BB"/>
    <w:rsid w:val="00103E25"/>
    <w:rsid w:val="00341AD5"/>
    <w:rsid w:val="003603EB"/>
    <w:rsid w:val="00815415"/>
    <w:rsid w:val="00D04C18"/>
    <w:rsid w:val="00E9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5408"/>
  <w15:chartTrackingRefBased/>
  <w15:docId w15:val="{B745CB50-4D91-446C-85D1-0BC4C770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15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05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19" w:color="F0F0F0"/>
            <w:right w:val="none" w:sz="0" w:space="0" w:color="auto"/>
          </w:divBdr>
        </w:div>
        <w:div w:id="20769714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19" w:color="F0F0F0"/>
            <w:right w:val="none" w:sz="0" w:space="0" w:color="auto"/>
          </w:divBdr>
          <w:divsChild>
            <w:div w:id="20775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1435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7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4</cp:revision>
  <dcterms:created xsi:type="dcterms:W3CDTF">2020-11-24T19:27:00Z</dcterms:created>
  <dcterms:modified xsi:type="dcterms:W3CDTF">2020-11-24T20:12:00Z</dcterms:modified>
</cp:coreProperties>
</file>