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23CB6" w14:textId="0C8229E4" w:rsidR="00CA6B15" w:rsidRDefault="00CA6B15" w:rsidP="00CA6B15">
      <w:pPr>
        <w:rPr>
          <w:b/>
          <w:bCs/>
          <w:sz w:val="32"/>
          <w:szCs w:val="32"/>
        </w:rPr>
      </w:pPr>
      <w:r w:rsidRPr="00CA6B15">
        <w:rPr>
          <w:b/>
          <w:bCs/>
          <w:sz w:val="32"/>
          <w:szCs w:val="32"/>
        </w:rPr>
        <w:t>Artrite psoriasica</w:t>
      </w:r>
      <w:r>
        <w:rPr>
          <w:b/>
          <w:bCs/>
          <w:sz w:val="32"/>
          <w:szCs w:val="32"/>
        </w:rPr>
        <w:t xml:space="preserve">: </w:t>
      </w:r>
      <w:r w:rsidRPr="00CA6B15">
        <w:rPr>
          <w:b/>
          <w:bCs/>
          <w:sz w:val="32"/>
          <w:szCs w:val="32"/>
        </w:rPr>
        <w:t xml:space="preserve">approvazione europea per </w:t>
      </w:r>
      <w:r>
        <w:rPr>
          <w:b/>
          <w:bCs/>
          <w:sz w:val="32"/>
          <w:szCs w:val="32"/>
        </w:rPr>
        <w:t xml:space="preserve">l’estensione di indicazione di </w:t>
      </w:r>
      <w:r w:rsidRPr="00CA6B15">
        <w:rPr>
          <w:b/>
          <w:bCs/>
          <w:sz w:val="32"/>
          <w:szCs w:val="32"/>
        </w:rPr>
        <w:t>guselkumab</w:t>
      </w:r>
      <w:r>
        <w:rPr>
          <w:b/>
          <w:bCs/>
          <w:sz w:val="32"/>
          <w:szCs w:val="32"/>
        </w:rPr>
        <w:t>.</w:t>
      </w:r>
    </w:p>
    <w:p w14:paraId="4121588F" w14:textId="553284BE" w:rsidR="00CA6B15" w:rsidRPr="00CA6B15" w:rsidRDefault="00CA6B15" w:rsidP="00CA6B15">
      <w:pPr>
        <w:rPr>
          <w:sz w:val="28"/>
          <w:szCs w:val="28"/>
        </w:rPr>
      </w:pPr>
      <w:r w:rsidRPr="00CA6B15">
        <w:rPr>
          <w:sz w:val="28"/>
          <w:szCs w:val="28"/>
        </w:rPr>
        <w:t>L’opinione favorevole del</w:t>
      </w:r>
      <w:r>
        <w:rPr>
          <w:sz w:val="28"/>
          <w:szCs w:val="28"/>
        </w:rPr>
        <w:t xml:space="preserve">la Commissione Europea </w:t>
      </w:r>
      <w:r w:rsidRPr="00CA6B15">
        <w:rPr>
          <w:sz w:val="28"/>
          <w:szCs w:val="28"/>
        </w:rPr>
        <w:t>si basa sui dati di DISCOVER-1 e DISCOVER-2, due studi clinici di fase 3, che hanno dimostrato l’efficacia e la sicurezza di guselkumab 100 mg ogni 4 e ogni 8 settimane per il trattamento dell’artrite psoriasica attiva nei pazienti adulti. I dati di questi studi sono stati pubblicati su The Lancet nel marzo 2020.</w:t>
      </w:r>
    </w:p>
    <w:p w14:paraId="448F7138" w14:textId="0374FA7A" w:rsidR="00CA6B15" w:rsidRDefault="00CA6B15" w:rsidP="00CA6B15">
      <w:pPr>
        <w:rPr>
          <w:sz w:val="28"/>
          <w:szCs w:val="28"/>
        </w:rPr>
      </w:pPr>
      <w:r>
        <w:rPr>
          <w:sz w:val="28"/>
          <w:szCs w:val="28"/>
        </w:rPr>
        <w:t>L’estensione dell’indicazione prevede l’uso per il</w:t>
      </w:r>
      <w:r w:rsidRPr="00CA6B15">
        <w:rPr>
          <w:sz w:val="28"/>
          <w:szCs w:val="28"/>
        </w:rPr>
        <w:t xml:space="preserve"> trattamento di pazienti adulti affetti da artrite psoriasica attiva (PsA). Guselkumab</w:t>
      </w:r>
      <w:r>
        <w:rPr>
          <w:sz w:val="28"/>
          <w:szCs w:val="28"/>
        </w:rPr>
        <w:t>, un anticorpo monoclonale,</w:t>
      </w:r>
      <w:r w:rsidRPr="00CA6B15">
        <w:rPr>
          <w:sz w:val="28"/>
          <w:szCs w:val="28"/>
        </w:rPr>
        <w:t xml:space="preserve"> è attualmente approvato nell'Unione Europea per il trattamento della psoriasi a placche da moderata a grave negli adulti candidati alla terapia sistemica. </w:t>
      </w:r>
    </w:p>
    <w:p w14:paraId="1BEC85F5" w14:textId="0AE58EDB" w:rsidR="00CA6B15" w:rsidRDefault="00CA6B15" w:rsidP="00CA6B15">
      <w:pPr>
        <w:rPr>
          <w:sz w:val="28"/>
          <w:szCs w:val="28"/>
        </w:rPr>
      </w:pPr>
      <w:r w:rsidRPr="00CA6B15">
        <w:rPr>
          <w:sz w:val="28"/>
          <w:szCs w:val="28"/>
        </w:rPr>
        <w:t>I risultati</w:t>
      </w:r>
      <w:r>
        <w:rPr>
          <w:sz w:val="28"/>
          <w:szCs w:val="28"/>
        </w:rPr>
        <w:t xml:space="preserve"> </w:t>
      </w:r>
      <w:r w:rsidRPr="00CA6B15">
        <w:rPr>
          <w:sz w:val="28"/>
          <w:szCs w:val="28"/>
        </w:rPr>
        <w:t>hanno mostrato che in entrambi gli studi, alla settimana 24, gli endpoint primari di miglioramento del 20</w:t>
      </w:r>
      <w:r>
        <w:rPr>
          <w:sz w:val="28"/>
          <w:szCs w:val="28"/>
        </w:rPr>
        <w:t xml:space="preserve">% </w:t>
      </w:r>
      <w:r w:rsidRPr="00CA6B15">
        <w:rPr>
          <w:sz w:val="28"/>
          <w:szCs w:val="28"/>
        </w:rPr>
        <w:t>della risposta dell'American College of Rheumatology (ACR20) hanno raggiunto la significatività statistica</w:t>
      </w:r>
      <w:r>
        <w:rPr>
          <w:sz w:val="28"/>
          <w:szCs w:val="28"/>
        </w:rPr>
        <w:t>.</w:t>
      </w:r>
    </w:p>
    <w:p w14:paraId="1A75FA9A" w14:textId="38BA80BE" w:rsidR="00CA6B15" w:rsidRDefault="00CA6B15" w:rsidP="00CA6B15">
      <w:pPr>
        <w:rPr>
          <w:sz w:val="28"/>
          <w:szCs w:val="28"/>
        </w:rPr>
      </w:pPr>
      <w:r w:rsidRPr="00CA6B15">
        <w:rPr>
          <w:sz w:val="28"/>
          <w:szCs w:val="28"/>
        </w:rPr>
        <w:t>In entrambi gli studi, guselkumab è stato generalmente ben tollerato fino al completamento dello studio, e gli eventi avversi osservati sono stati generalmente coerenti con gli studi precedenti</w:t>
      </w:r>
    </w:p>
    <w:p w14:paraId="0B7C0233" w14:textId="28AA16B4" w:rsidR="00CA6B15" w:rsidRDefault="00CA6B15" w:rsidP="00CA6B15">
      <w:pPr>
        <w:rPr>
          <w:sz w:val="28"/>
          <w:szCs w:val="28"/>
        </w:rPr>
      </w:pPr>
      <w:r w:rsidRPr="00CA6B15">
        <w:rPr>
          <w:sz w:val="28"/>
          <w:szCs w:val="28"/>
        </w:rPr>
        <w:t>L'artrite psoriasica è una malattia infiammatoria cronica, immuno-mediata, progressiva e caratterizzata da infiammazione</w:t>
      </w:r>
      <w:r>
        <w:rPr>
          <w:sz w:val="28"/>
          <w:szCs w:val="28"/>
        </w:rPr>
        <w:t xml:space="preserve">, </w:t>
      </w:r>
      <w:r w:rsidRPr="00CA6B15">
        <w:rPr>
          <w:sz w:val="28"/>
          <w:szCs w:val="28"/>
        </w:rPr>
        <w:t>danni articolari debilitanti e lesioni cutanee associate alla psoriasi. Non esiste una cura nota e si stima che fino a un terzo dei 14 milioni di persone che convivono con la psoriasi in Europa svilupperà anche l'artrite psoriasica.</w:t>
      </w:r>
      <w:r w:rsidRPr="00CA6B15">
        <w:rPr>
          <w:sz w:val="28"/>
          <w:szCs w:val="28"/>
        </w:rPr>
        <w:br/>
      </w:r>
    </w:p>
    <w:sectPr w:rsidR="00CA6B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15"/>
    <w:rsid w:val="00277452"/>
    <w:rsid w:val="00CA6B15"/>
    <w:rsid w:val="00E9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6999"/>
  <w15:chartTrackingRefBased/>
  <w15:docId w15:val="{509AF57D-81B3-47FA-9FA1-14E33751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2</cp:revision>
  <dcterms:created xsi:type="dcterms:W3CDTF">2020-11-25T17:35:00Z</dcterms:created>
  <dcterms:modified xsi:type="dcterms:W3CDTF">2020-11-25T17:49:00Z</dcterms:modified>
</cp:coreProperties>
</file>