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6C4F94" w14:textId="681B6C39" w:rsidR="00065850" w:rsidRPr="00645397" w:rsidRDefault="004B6FC8" w:rsidP="00645397">
      <w:pPr>
        <w:shd w:val="clear" w:color="auto" w:fill="FFFFFF"/>
        <w:spacing w:after="120" w:line="240" w:lineRule="auto"/>
        <w:outlineLvl w:val="0"/>
        <w:rPr>
          <w:rFonts w:eastAsia="Times New Roman" w:cstheme="minorHAnsi"/>
          <w:b/>
          <w:bCs/>
          <w:color w:val="333333"/>
          <w:kern w:val="36"/>
          <w:sz w:val="32"/>
          <w:szCs w:val="32"/>
          <w:lang w:eastAsia="it-IT"/>
        </w:rPr>
      </w:pPr>
      <w:r w:rsidRPr="00645397">
        <w:rPr>
          <w:rFonts w:eastAsia="Times New Roman" w:cstheme="minorHAnsi"/>
          <w:b/>
          <w:bCs/>
          <w:color w:val="333333"/>
          <w:kern w:val="36"/>
          <w:sz w:val="32"/>
          <w:szCs w:val="32"/>
          <w:lang w:eastAsia="it-IT"/>
        </w:rPr>
        <w:t>Il vaccino Oxford-AstraZeneca efficace al 70%</w:t>
      </w:r>
      <w:r w:rsidR="00065850" w:rsidRPr="00645397">
        <w:rPr>
          <w:rFonts w:eastAsia="Times New Roman" w:cstheme="minorHAnsi"/>
          <w:b/>
          <w:bCs/>
          <w:color w:val="333333"/>
          <w:kern w:val="36"/>
          <w:sz w:val="32"/>
          <w:szCs w:val="32"/>
          <w:lang w:eastAsia="it-IT"/>
        </w:rPr>
        <w:t xml:space="preserve"> può arrivare al 90%</w:t>
      </w:r>
    </w:p>
    <w:p w14:paraId="70C2FA01" w14:textId="232AF3AD" w:rsidR="00065850" w:rsidRPr="00645397" w:rsidRDefault="00065850" w:rsidP="00645397">
      <w:pPr>
        <w:spacing w:after="120" w:line="240" w:lineRule="auto"/>
        <w:rPr>
          <w:rFonts w:eastAsia="Times New Roman" w:cstheme="minorHAnsi"/>
          <w:sz w:val="28"/>
          <w:szCs w:val="28"/>
          <w:lang w:eastAsia="it-IT"/>
        </w:rPr>
      </w:pPr>
      <w:r w:rsidRPr="00645397">
        <w:rPr>
          <w:rFonts w:eastAsia="Times New Roman" w:cstheme="minorHAnsi"/>
          <w:sz w:val="28"/>
          <w:szCs w:val="28"/>
          <w:lang w:eastAsia="it-IT"/>
        </w:rPr>
        <w:t>AstraZeneca ha comunicato questa mattina che il suo vaccino contro il Covid-19, sviluppato con l’Università di Oxford</w:t>
      </w:r>
      <w:r w:rsidR="004B6FC8" w:rsidRPr="00645397">
        <w:rPr>
          <w:rFonts w:eastAsia="Times New Roman" w:cstheme="minorHAnsi"/>
          <w:sz w:val="28"/>
          <w:szCs w:val="28"/>
          <w:lang w:eastAsia="it-IT"/>
        </w:rPr>
        <w:t xml:space="preserve"> e l’IRBM di Pomezia</w:t>
      </w:r>
      <w:r w:rsidRPr="00645397">
        <w:rPr>
          <w:rFonts w:eastAsia="Times New Roman" w:cstheme="minorHAnsi"/>
          <w:sz w:val="28"/>
          <w:szCs w:val="28"/>
          <w:lang w:eastAsia="it-IT"/>
        </w:rPr>
        <w:t>, ha mostrato un’efficacia media del 70%.</w:t>
      </w:r>
    </w:p>
    <w:p w14:paraId="12FD5907" w14:textId="2B6394B2" w:rsidR="00645397" w:rsidRDefault="00645397" w:rsidP="00645397">
      <w:pPr>
        <w:spacing w:after="120" w:line="240" w:lineRule="auto"/>
        <w:rPr>
          <w:rFonts w:eastAsia="Times New Roman" w:cstheme="minorHAnsi"/>
          <w:sz w:val="28"/>
          <w:szCs w:val="28"/>
          <w:lang w:eastAsia="it-IT"/>
        </w:rPr>
      </w:pPr>
      <w:r w:rsidRPr="00645397">
        <w:rPr>
          <w:rFonts w:eastAsia="Times New Roman" w:cstheme="minorHAnsi"/>
          <w:sz w:val="28"/>
          <w:szCs w:val="28"/>
          <w:lang w:eastAsia="it-IT"/>
        </w:rPr>
        <w:t>Tuttavia, a seconda dei dosaggi la protezione sembra variare fino a una copertura del 90%.</w:t>
      </w:r>
    </w:p>
    <w:p w14:paraId="4D0228F0" w14:textId="6B86F6FF" w:rsidR="000677C6" w:rsidRPr="00645397" w:rsidRDefault="000677C6" w:rsidP="000677C6">
      <w:pPr>
        <w:spacing w:after="120" w:line="240" w:lineRule="auto"/>
        <w:rPr>
          <w:rFonts w:eastAsia="Times New Roman" w:cstheme="minorHAnsi"/>
          <w:sz w:val="28"/>
          <w:szCs w:val="28"/>
          <w:lang w:eastAsia="it-IT"/>
        </w:rPr>
      </w:pPr>
      <w:r w:rsidRPr="00645397">
        <w:rPr>
          <w:rFonts w:eastAsia="Times New Roman" w:cstheme="minorHAnsi"/>
          <w:sz w:val="28"/>
          <w:szCs w:val="28"/>
          <w:lang w:eastAsia="it-IT"/>
        </w:rPr>
        <w:t>Si tratta di risultati preliminari di test clinici, condotti nel Regno Unito e in Brasile, nella fase tre della sperimentazione</w:t>
      </w:r>
      <w:r w:rsidR="00EC7ACF">
        <w:rPr>
          <w:rFonts w:eastAsia="Times New Roman" w:cstheme="minorHAnsi"/>
          <w:sz w:val="28"/>
          <w:szCs w:val="28"/>
          <w:lang w:eastAsia="it-IT"/>
        </w:rPr>
        <w:t xml:space="preserve"> e </w:t>
      </w:r>
      <w:r w:rsidRPr="00645397">
        <w:rPr>
          <w:rFonts w:eastAsia="Times New Roman" w:cstheme="minorHAnsi"/>
          <w:sz w:val="28"/>
          <w:szCs w:val="28"/>
          <w:lang w:eastAsia="it-IT"/>
        </w:rPr>
        <w:t>la ricerca prosegue.</w:t>
      </w:r>
    </w:p>
    <w:p w14:paraId="2ADCBD26" w14:textId="44101641" w:rsidR="000677C6" w:rsidRPr="00645397" w:rsidRDefault="000677C6" w:rsidP="00645397">
      <w:pPr>
        <w:spacing w:after="120" w:line="240" w:lineRule="auto"/>
        <w:rPr>
          <w:rFonts w:eastAsia="Times New Roman" w:cstheme="minorHAnsi"/>
          <w:sz w:val="28"/>
          <w:szCs w:val="28"/>
          <w:lang w:eastAsia="it-IT"/>
        </w:rPr>
      </w:pPr>
      <w:r w:rsidRPr="000677C6">
        <w:rPr>
          <w:rFonts w:eastAsia="Times New Roman" w:cstheme="minorHAnsi"/>
          <w:sz w:val="28"/>
          <w:szCs w:val="28"/>
          <w:lang w:eastAsia="it-IT"/>
        </w:rPr>
        <w:t>Il vaccino può essere conservato</w:t>
      </w:r>
      <w:r>
        <w:rPr>
          <w:rFonts w:eastAsia="Times New Roman" w:cstheme="minorHAnsi"/>
          <w:sz w:val="28"/>
          <w:szCs w:val="28"/>
          <w:lang w:eastAsia="it-IT"/>
        </w:rPr>
        <w:t xml:space="preserve"> e</w:t>
      </w:r>
      <w:r w:rsidRPr="000677C6">
        <w:rPr>
          <w:rFonts w:eastAsia="Times New Roman" w:cstheme="minorHAnsi"/>
          <w:sz w:val="28"/>
          <w:szCs w:val="28"/>
          <w:lang w:eastAsia="it-IT"/>
        </w:rPr>
        <w:t xml:space="preserve"> trasportato in normali condizioni di refrigerazione (2-8 gradi Celsius) per almeno sei mesi e somministrato all'interno delle strutture sanitarie esistenti</w:t>
      </w:r>
      <w:r>
        <w:rPr>
          <w:rFonts w:eastAsia="Times New Roman" w:cstheme="minorHAnsi"/>
          <w:sz w:val="28"/>
          <w:szCs w:val="28"/>
          <w:lang w:eastAsia="it-IT"/>
        </w:rPr>
        <w:t xml:space="preserve"> e è più economico degli altri.</w:t>
      </w:r>
    </w:p>
    <w:p w14:paraId="03DC544F" w14:textId="5FCB535E" w:rsidR="00645397" w:rsidRPr="00645397" w:rsidRDefault="00645397" w:rsidP="00645397">
      <w:pPr>
        <w:spacing w:after="120" w:line="240" w:lineRule="auto"/>
        <w:rPr>
          <w:rFonts w:eastAsia="Times New Roman" w:cstheme="minorHAnsi"/>
          <w:sz w:val="28"/>
          <w:szCs w:val="28"/>
          <w:lang w:eastAsia="it-IT"/>
        </w:rPr>
      </w:pPr>
      <w:r w:rsidRPr="00645397">
        <w:rPr>
          <w:rFonts w:eastAsia="Times New Roman" w:cstheme="minorHAnsi"/>
          <w:sz w:val="28"/>
          <w:szCs w:val="28"/>
          <w:lang w:eastAsia="it-IT"/>
        </w:rPr>
        <w:t>Nella sperimentazione sono stati coinvolti più di 20 mila volontari, metà nel Regno Unito, il resto in Brasile</w:t>
      </w:r>
      <w:r w:rsidR="000677C6">
        <w:rPr>
          <w:rFonts w:eastAsia="Times New Roman" w:cstheme="minorHAnsi"/>
          <w:sz w:val="28"/>
          <w:szCs w:val="28"/>
          <w:lang w:eastAsia="it-IT"/>
        </w:rPr>
        <w:t xml:space="preserve">. </w:t>
      </w:r>
      <w:r w:rsidRPr="00645397">
        <w:rPr>
          <w:rFonts w:eastAsia="Times New Roman" w:cstheme="minorHAnsi"/>
          <w:sz w:val="28"/>
          <w:szCs w:val="28"/>
          <w:lang w:eastAsia="it-IT"/>
        </w:rPr>
        <w:t>Quando ai volontari sono state somministrate due dosi intere la protezione è stata del 62% mentre una mezza dose, seguita da una dose intera ha portato a una protezione del 90%. L’analisi combinata di entrambi i dosaggi ha portato a un’efficacia media del 70%.</w:t>
      </w:r>
    </w:p>
    <w:p w14:paraId="545AD07F" w14:textId="33425A60" w:rsidR="000677C6" w:rsidRPr="00645397" w:rsidRDefault="000677C6" w:rsidP="00645397">
      <w:pPr>
        <w:spacing w:after="120" w:line="240" w:lineRule="auto"/>
        <w:rPr>
          <w:rFonts w:eastAsia="Times New Roman" w:cstheme="minorHAnsi"/>
          <w:color w:val="222222"/>
          <w:sz w:val="28"/>
          <w:szCs w:val="28"/>
          <w:lang w:eastAsia="it-IT"/>
        </w:rPr>
      </w:pPr>
      <w:r>
        <w:rPr>
          <w:rFonts w:eastAsia="Times New Roman" w:cstheme="minorHAnsi"/>
          <w:color w:val="222222"/>
          <w:sz w:val="28"/>
          <w:szCs w:val="28"/>
          <w:lang w:eastAsia="it-IT"/>
        </w:rPr>
        <w:t>L</w:t>
      </w:r>
      <w:r w:rsidRPr="000677C6">
        <w:rPr>
          <w:rFonts w:eastAsia="Times New Roman" w:cstheme="minorHAnsi"/>
          <w:color w:val="222222"/>
          <w:sz w:val="28"/>
          <w:szCs w:val="28"/>
          <w:lang w:eastAsia="it-IT"/>
        </w:rPr>
        <w:t>a protezione da COVID-19 si è verificata 14 giorni o più dopo aver ricevuto due dosi di vaccino. Non sono stati confermati gravi eventi di sicurezza relativi al vaccino</w:t>
      </w:r>
      <w:r>
        <w:rPr>
          <w:rFonts w:eastAsia="Times New Roman" w:cstheme="minorHAnsi"/>
          <w:color w:val="222222"/>
          <w:sz w:val="28"/>
          <w:szCs w:val="28"/>
          <w:lang w:eastAsia="it-IT"/>
        </w:rPr>
        <w:t xml:space="preserve"> ed </w:t>
      </w:r>
      <w:r w:rsidRPr="000677C6">
        <w:rPr>
          <w:rFonts w:eastAsia="Times New Roman" w:cstheme="minorHAnsi"/>
          <w:color w:val="222222"/>
          <w:sz w:val="28"/>
          <w:szCs w:val="28"/>
          <w:lang w:eastAsia="it-IT"/>
        </w:rPr>
        <w:t>è stato ben tollerato in entrambi i regimi di dosaggio.</w:t>
      </w:r>
    </w:p>
    <w:p w14:paraId="0B97544D" w14:textId="164A1651" w:rsidR="00645397" w:rsidRPr="00645397" w:rsidRDefault="00645397" w:rsidP="00645397">
      <w:pPr>
        <w:spacing w:after="120" w:line="240" w:lineRule="auto"/>
        <w:rPr>
          <w:rFonts w:eastAsia="Times New Roman" w:cstheme="minorHAnsi"/>
          <w:color w:val="222222"/>
          <w:sz w:val="28"/>
          <w:szCs w:val="28"/>
          <w:lang w:eastAsia="it-IT"/>
        </w:rPr>
      </w:pPr>
      <w:r w:rsidRPr="00645397">
        <w:rPr>
          <w:rFonts w:eastAsia="Times New Roman" w:cstheme="minorHAnsi"/>
          <w:color w:val="222222"/>
          <w:sz w:val="28"/>
          <w:szCs w:val="28"/>
          <w:lang w:eastAsia="it-IT"/>
        </w:rPr>
        <w:t>Dai primi dati comunicati dall’azienda farmaceutica e non ancora pubblicati sulle riviste scientifiche emerge dunque che</w:t>
      </w:r>
      <w:r w:rsidRPr="00645397">
        <w:rPr>
          <w:rFonts w:eastAsia="Times New Roman" w:cstheme="minorHAnsi"/>
          <w:b/>
          <w:bCs/>
          <w:color w:val="222222"/>
          <w:sz w:val="28"/>
          <w:szCs w:val="28"/>
          <w:lang w:eastAsia="it-IT"/>
        </w:rPr>
        <w:t> </w:t>
      </w:r>
      <w:r w:rsidRPr="00645397">
        <w:rPr>
          <w:rFonts w:eastAsia="Times New Roman" w:cstheme="minorHAnsi"/>
          <w:color w:val="222222"/>
          <w:sz w:val="28"/>
          <w:szCs w:val="28"/>
          <w:lang w:eastAsia="it-IT"/>
        </w:rPr>
        <w:t>il regime ottimale di somministrazione è mezza dose con un richiamo a dose completa dopo un mese. L’azienda ha annunciato che sarà questa la formulazione messa in commercio. </w:t>
      </w:r>
    </w:p>
    <w:p w14:paraId="2158DD93" w14:textId="1701DB01" w:rsidR="00065850" w:rsidRPr="00645397" w:rsidRDefault="00065850" w:rsidP="00645397">
      <w:pPr>
        <w:spacing w:after="120" w:line="240" w:lineRule="auto"/>
        <w:rPr>
          <w:rFonts w:eastAsia="Times New Roman" w:cstheme="minorHAnsi"/>
          <w:sz w:val="28"/>
          <w:szCs w:val="28"/>
          <w:lang w:eastAsia="it-IT"/>
        </w:rPr>
      </w:pPr>
      <w:r w:rsidRPr="00645397">
        <w:rPr>
          <w:rFonts w:eastAsia="Times New Roman" w:cstheme="minorHAnsi"/>
          <w:sz w:val="28"/>
          <w:szCs w:val="28"/>
          <w:lang w:eastAsia="it-IT"/>
        </w:rPr>
        <w:t>Il vaccino AstraZeneca utilizza una versione modificata di un virus del raffreddore comune di scimpanzé per fornire istruzioni alle cellule per combattere il virus bersaglio, che è diverso dalla nuova tecnologia nota come RNA messaggero (</w:t>
      </w:r>
      <w:proofErr w:type="spellStart"/>
      <w:r w:rsidRPr="00645397">
        <w:rPr>
          <w:rFonts w:eastAsia="Times New Roman" w:cstheme="minorHAnsi"/>
          <w:sz w:val="28"/>
          <w:szCs w:val="28"/>
          <w:lang w:eastAsia="it-IT"/>
        </w:rPr>
        <w:t>mRNA</w:t>
      </w:r>
      <w:proofErr w:type="spellEnd"/>
      <w:r w:rsidRPr="00645397">
        <w:rPr>
          <w:rFonts w:eastAsia="Times New Roman" w:cstheme="minorHAnsi"/>
          <w:sz w:val="28"/>
          <w:szCs w:val="28"/>
          <w:lang w:eastAsia="it-IT"/>
        </w:rPr>
        <w:t xml:space="preserve">) implementata da Pfizer / </w:t>
      </w:r>
      <w:proofErr w:type="spellStart"/>
      <w:r w:rsidRPr="00645397">
        <w:rPr>
          <w:rFonts w:eastAsia="Times New Roman" w:cstheme="minorHAnsi"/>
          <w:sz w:val="28"/>
          <w:szCs w:val="28"/>
          <w:lang w:eastAsia="it-IT"/>
        </w:rPr>
        <w:t>BioNTech</w:t>
      </w:r>
      <w:proofErr w:type="spellEnd"/>
      <w:r w:rsidRPr="00645397">
        <w:rPr>
          <w:rFonts w:eastAsia="Times New Roman" w:cstheme="minorHAnsi"/>
          <w:sz w:val="28"/>
          <w:szCs w:val="28"/>
          <w:lang w:eastAsia="it-IT"/>
        </w:rPr>
        <w:t xml:space="preserve"> e Moderna.</w:t>
      </w:r>
      <w:r w:rsidRPr="00645397">
        <w:rPr>
          <w:rFonts w:eastAsia="Times New Roman" w:cstheme="minorHAnsi"/>
          <w:sz w:val="28"/>
          <w:szCs w:val="28"/>
          <w:lang w:eastAsia="it-IT"/>
        </w:rPr>
        <w:br/>
      </w:r>
      <w:r w:rsidRPr="00645397">
        <w:rPr>
          <w:rFonts w:eastAsia="Times New Roman" w:cstheme="minorHAnsi"/>
          <w:sz w:val="28"/>
          <w:szCs w:val="28"/>
          <w:lang w:eastAsia="it-IT"/>
        </w:rPr>
        <w:br/>
      </w:r>
    </w:p>
    <w:p w14:paraId="58CB8C80" w14:textId="77777777" w:rsidR="00750C8C" w:rsidRPr="00645397" w:rsidRDefault="00750C8C" w:rsidP="00645397">
      <w:pPr>
        <w:spacing w:after="120" w:line="240" w:lineRule="auto"/>
        <w:rPr>
          <w:rFonts w:cstheme="minorHAnsi"/>
          <w:sz w:val="28"/>
          <w:szCs w:val="28"/>
        </w:rPr>
      </w:pPr>
    </w:p>
    <w:sectPr w:rsidR="00750C8C" w:rsidRPr="0064539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294EAB"/>
    <w:multiLevelType w:val="multilevel"/>
    <w:tmpl w:val="7BEC9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441523"/>
    <w:multiLevelType w:val="multilevel"/>
    <w:tmpl w:val="1428CA8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850"/>
    <w:rsid w:val="00065850"/>
    <w:rsid w:val="000677C6"/>
    <w:rsid w:val="002E7F04"/>
    <w:rsid w:val="004B6FC8"/>
    <w:rsid w:val="00645397"/>
    <w:rsid w:val="00750C8C"/>
    <w:rsid w:val="00EC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AB897"/>
  <w15:chartTrackingRefBased/>
  <w15:docId w15:val="{0AA95714-C682-4E17-8FF2-3EC70CCCF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06585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65850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styleId="Enfasicorsivo">
    <w:name w:val="Emphasis"/>
    <w:basedOn w:val="Carpredefinitoparagrafo"/>
    <w:uiPriority w:val="20"/>
    <w:qFormat/>
    <w:rsid w:val="00065850"/>
    <w:rPr>
      <w:i/>
      <w:iCs/>
    </w:rPr>
  </w:style>
  <w:style w:type="character" w:customStyle="1" w:styleId="author">
    <w:name w:val="author"/>
    <w:basedOn w:val="Carpredefinitoparagrafo"/>
    <w:rsid w:val="00065850"/>
  </w:style>
  <w:style w:type="character" w:customStyle="1" w:styleId="navbar-today">
    <w:name w:val="navbar-today"/>
    <w:basedOn w:val="Carpredefinitoparagrafo"/>
    <w:rsid w:val="00065850"/>
  </w:style>
  <w:style w:type="paragraph" w:customStyle="1" w:styleId="didascalia">
    <w:name w:val="didascalia"/>
    <w:basedOn w:val="Normale"/>
    <w:rsid w:val="000658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065850"/>
    <w:rPr>
      <w:color w:val="0000FF"/>
      <w:u w:val="single"/>
    </w:rPr>
  </w:style>
  <w:style w:type="paragraph" w:customStyle="1" w:styleId="hidden-xs">
    <w:name w:val="hidden-xs"/>
    <w:basedOn w:val="Normale"/>
    <w:rsid w:val="000658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0658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relatednews-item-title">
    <w:name w:val="relatednews-item-title"/>
    <w:basedOn w:val="Carpredefinitoparagrafo"/>
    <w:rsid w:val="000658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809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903774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68618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71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859218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0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015801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08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6224">
                      <w:marLeft w:val="0"/>
                      <w:marRight w:val="0"/>
                      <w:marTop w:val="600"/>
                      <w:marBottom w:val="600"/>
                      <w:divBdr>
                        <w:top w:val="single" w:sz="6" w:space="0" w:color="004A94"/>
                        <w:left w:val="none" w:sz="0" w:space="0" w:color="auto"/>
                        <w:bottom w:val="single" w:sz="6" w:space="0" w:color="004A94"/>
                        <w:right w:val="none" w:sz="0" w:space="0" w:color="auto"/>
                      </w:divBdr>
                      <w:divsChild>
                        <w:div w:id="183054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6603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842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635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524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9075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184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9191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676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0969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920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MBolotti</dc:creator>
  <cp:keywords/>
  <dc:description/>
  <cp:lastModifiedBy>MBolotti</cp:lastModifiedBy>
  <cp:revision>4</cp:revision>
  <dcterms:created xsi:type="dcterms:W3CDTF">2020-11-23T15:38:00Z</dcterms:created>
  <dcterms:modified xsi:type="dcterms:W3CDTF">2020-11-24T20:13:00Z</dcterms:modified>
</cp:coreProperties>
</file>